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469"/>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151ED0" w:rsidP="00707C88">
            <w:pPr>
              <w:rPr>
                <w:sz w:val="24"/>
                <w:szCs w:val="24"/>
              </w:rPr>
            </w:pPr>
            <w:r>
              <w:rPr>
                <w:sz w:val="24"/>
                <w:szCs w:val="24"/>
              </w:rPr>
              <w:t xml:space="preserve">No. </w:t>
            </w:r>
            <w:r w:rsidR="00FA7A85">
              <w:rPr>
                <w:sz w:val="24"/>
                <w:szCs w:val="24"/>
              </w:rPr>
              <w:t>3</w:t>
            </w:r>
            <w:r w:rsidR="001B6671">
              <w:rPr>
                <w:sz w:val="24"/>
                <w:szCs w:val="24"/>
              </w:rPr>
              <w:t>4</w:t>
            </w:r>
            <w:r w:rsidR="00500306">
              <w:rPr>
                <w:sz w:val="24"/>
                <w:szCs w:val="24"/>
              </w:rPr>
              <w:t xml:space="preserve">, </w:t>
            </w:r>
            <w:r w:rsidR="00B8686A">
              <w:rPr>
                <w:sz w:val="24"/>
                <w:szCs w:val="24"/>
              </w:rPr>
              <w:t>Land</w:t>
            </w:r>
            <w:r w:rsidR="001B6671">
              <w:rPr>
                <w:sz w:val="24"/>
                <w:szCs w:val="24"/>
              </w:rPr>
              <w:t>scape Cottage, Gardens</w:t>
            </w:r>
          </w:p>
          <w:p w:rsidR="00416C6F" w:rsidRPr="0053196F" w:rsidRDefault="00416C6F" w:rsidP="00707C88">
            <w:pPr>
              <w:rPr>
                <w:sz w:val="24"/>
                <w:szCs w:val="24"/>
              </w:rPr>
            </w:pP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469" w:type="dxa"/>
            <w:shd w:val="clear" w:color="auto" w:fill="auto"/>
          </w:tcPr>
          <w:p w:rsidR="00416C6F" w:rsidRPr="0053196F" w:rsidRDefault="0091443E" w:rsidP="00707C88">
            <w:pPr>
              <w:rPr>
                <w:sz w:val="24"/>
                <w:szCs w:val="24"/>
              </w:rPr>
            </w:pPr>
            <w:r>
              <w:rPr>
                <w:sz w:val="24"/>
                <w:szCs w:val="24"/>
              </w:rPr>
              <w:t>0.3</w:t>
            </w:r>
            <w:r w:rsidR="00A4144C">
              <w:rPr>
                <w:sz w:val="24"/>
                <w:szCs w:val="24"/>
              </w:rPr>
              <w:t>ha</w:t>
            </w:r>
          </w:p>
        </w:tc>
      </w:tr>
      <w:tr w:rsidR="00416C6F" w:rsidRPr="0053196F" w:rsidTr="00F06DD8">
        <w:trPr>
          <w:trHeight w:val="1268"/>
        </w:trPr>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657611" w:rsidP="00DC0FD2">
            <w:pPr>
              <w:rPr>
                <w:sz w:val="24"/>
                <w:szCs w:val="24"/>
              </w:rPr>
            </w:pPr>
            <w:r>
              <w:rPr>
                <w:sz w:val="24"/>
                <w:szCs w:val="24"/>
              </w:rPr>
              <w:t>Part of Garden Land</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163683" w:rsidP="00163683">
            <w:pPr>
              <w:rPr>
                <w:sz w:val="24"/>
                <w:szCs w:val="24"/>
              </w:rPr>
            </w:pPr>
            <w:r>
              <w:rPr>
                <w:sz w:val="24"/>
                <w:szCs w:val="24"/>
              </w:rPr>
              <w:t>Housing</w:t>
            </w:r>
            <w:r w:rsidR="00500306">
              <w:rPr>
                <w:sz w:val="24"/>
                <w:szCs w:val="24"/>
              </w:rPr>
              <w:t xml:space="preserve"> </w:t>
            </w:r>
          </w:p>
        </w:tc>
      </w:tr>
      <w:tr w:rsidR="00416C6F" w:rsidRPr="0053196F" w:rsidTr="00F06DD8">
        <w:trPr>
          <w:trHeight w:val="878"/>
        </w:trPr>
        <w:tc>
          <w:tcPr>
            <w:tcW w:w="2547"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469" w:type="dxa"/>
            <w:shd w:val="clear" w:color="auto" w:fill="auto"/>
          </w:tcPr>
          <w:p w:rsidR="00416C6F" w:rsidRPr="0053196F" w:rsidRDefault="00B8686A" w:rsidP="00657611">
            <w:pPr>
              <w:rPr>
                <w:sz w:val="24"/>
                <w:szCs w:val="24"/>
              </w:rPr>
            </w:pPr>
            <w:r>
              <w:rPr>
                <w:sz w:val="24"/>
                <w:szCs w:val="24"/>
              </w:rPr>
              <w:t xml:space="preserve">Proposed by </w:t>
            </w:r>
            <w:r w:rsidR="00657611">
              <w:rPr>
                <w:sz w:val="24"/>
                <w:szCs w:val="24"/>
              </w:rPr>
              <w:t>owner for 1 dwelling</w:t>
            </w:r>
          </w:p>
        </w:tc>
      </w:tr>
      <w:tr w:rsidR="00416C6F" w:rsidRPr="0053196F" w:rsidTr="00F06DD8">
        <w:trPr>
          <w:trHeight w:val="976"/>
        </w:trPr>
        <w:tc>
          <w:tcPr>
            <w:tcW w:w="2547" w:type="dxa"/>
            <w:shd w:val="clear" w:color="auto" w:fill="56008C"/>
          </w:tcPr>
          <w:p w:rsidR="00416C6F" w:rsidRDefault="00D963ED" w:rsidP="00707C88">
            <w:pPr>
              <w:rPr>
                <w:color w:val="FFFFFF"/>
                <w:sz w:val="24"/>
                <w:szCs w:val="24"/>
              </w:rPr>
            </w:pPr>
            <w:r>
              <w:rPr>
                <w:color w:val="FFFFFF"/>
                <w:sz w:val="24"/>
                <w:szCs w:val="24"/>
              </w:rPr>
              <w:t>Designations</w:t>
            </w:r>
          </w:p>
        </w:tc>
        <w:tc>
          <w:tcPr>
            <w:tcW w:w="6469" w:type="dxa"/>
            <w:shd w:val="clear" w:color="auto" w:fill="auto"/>
          </w:tcPr>
          <w:p w:rsidR="00B8686A" w:rsidRPr="003819D3" w:rsidRDefault="00B8686A" w:rsidP="003C578E">
            <w:pPr>
              <w:rPr>
                <w:sz w:val="24"/>
                <w:szCs w:val="24"/>
              </w:rPr>
            </w:pPr>
            <w:r>
              <w:rPr>
                <w:sz w:val="24"/>
                <w:szCs w:val="24"/>
              </w:rPr>
              <w:t>Strategic Gap</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F06DD8">
        <w:trPr>
          <w:trHeight w:val="719"/>
        </w:trPr>
        <w:tc>
          <w:tcPr>
            <w:tcW w:w="2547"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469" w:type="dxa"/>
            <w:shd w:val="clear" w:color="auto" w:fill="auto"/>
          </w:tcPr>
          <w:p w:rsidR="00416C6F" w:rsidRPr="0053196F" w:rsidRDefault="00657611" w:rsidP="00A4144C">
            <w:pPr>
              <w:rPr>
                <w:sz w:val="24"/>
                <w:szCs w:val="24"/>
              </w:rPr>
            </w:pPr>
            <w:r>
              <w:rPr>
                <w:sz w:val="24"/>
                <w:szCs w:val="24"/>
              </w:rPr>
              <w:t xml:space="preserve">Outside the AONB and forming part of garden to property and generally contained from field to the east. Opportunity to create additional screening to the </w:t>
            </w:r>
            <w:r w:rsidR="003A62E6">
              <w:rPr>
                <w:sz w:val="24"/>
                <w:szCs w:val="24"/>
              </w:rPr>
              <w:t xml:space="preserve">eastern boundary. Whilst, the site is set at a higher level than the remainder of the village, site would be seen amongst the properties and </w:t>
            </w:r>
            <w:r w:rsidR="00A4144C">
              <w:rPr>
                <w:sz w:val="24"/>
                <w:szCs w:val="24"/>
              </w:rPr>
              <w:t>buildings to the south and east although the site would have to preserve the setting of the listed property opposite.</w:t>
            </w:r>
          </w:p>
        </w:tc>
      </w:tr>
      <w:tr w:rsidR="00D963ED" w:rsidRPr="0053196F" w:rsidTr="00F06DD8">
        <w:trPr>
          <w:trHeight w:val="719"/>
        </w:trPr>
        <w:tc>
          <w:tcPr>
            <w:tcW w:w="2547" w:type="dxa"/>
            <w:shd w:val="clear" w:color="auto" w:fill="56008C"/>
          </w:tcPr>
          <w:p w:rsidR="00D963ED" w:rsidRDefault="00D963ED" w:rsidP="00C76945">
            <w:pPr>
              <w:rPr>
                <w:color w:val="FFFFFF"/>
                <w:sz w:val="24"/>
                <w:szCs w:val="24"/>
              </w:rPr>
            </w:pPr>
            <w:r>
              <w:rPr>
                <w:color w:val="FFFFFF"/>
                <w:sz w:val="24"/>
                <w:szCs w:val="24"/>
              </w:rPr>
              <w:t>Adjacent uses</w:t>
            </w:r>
          </w:p>
        </w:tc>
        <w:tc>
          <w:tcPr>
            <w:tcW w:w="6469" w:type="dxa"/>
            <w:shd w:val="clear" w:color="auto" w:fill="auto"/>
          </w:tcPr>
          <w:p w:rsidR="00D963ED" w:rsidRPr="0053196F" w:rsidRDefault="00FA7A85" w:rsidP="003A62E6">
            <w:pPr>
              <w:rPr>
                <w:sz w:val="24"/>
                <w:szCs w:val="24"/>
              </w:rPr>
            </w:pPr>
            <w:r>
              <w:rPr>
                <w:sz w:val="24"/>
                <w:szCs w:val="24"/>
              </w:rPr>
              <w:t>R</w:t>
            </w:r>
            <w:r w:rsidR="003C6CC0">
              <w:rPr>
                <w:sz w:val="24"/>
                <w:szCs w:val="24"/>
              </w:rPr>
              <w:t xml:space="preserve">esidential </w:t>
            </w:r>
            <w:r w:rsidR="0091443E">
              <w:rPr>
                <w:sz w:val="24"/>
                <w:szCs w:val="24"/>
              </w:rPr>
              <w:t>properties to the we</w:t>
            </w:r>
            <w:r>
              <w:rPr>
                <w:sz w:val="24"/>
                <w:szCs w:val="24"/>
              </w:rPr>
              <w:t xml:space="preserve">st </w:t>
            </w:r>
            <w:r w:rsidR="003A62E6">
              <w:rPr>
                <w:sz w:val="24"/>
                <w:szCs w:val="24"/>
              </w:rPr>
              <w:t>a</w:t>
            </w:r>
            <w:r w:rsidR="0091443E">
              <w:rPr>
                <w:sz w:val="24"/>
                <w:szCs w:val="24"/>
              </w:rPr>
              <w:t>nd agricultural land to the east</w:t>
            </w:r>
          </w:p>
        </w:tc>
      </w:tr>
      <w:tr w:rsidR="00C76945" w:rsidRPr="0053196F" w:rsidTr="00F06DD8">
        <w:trPr>
          <w:trHeight w:val="710"/>
        </w:trPr>
        <w:tc>
          <w:tcPr>
            <w:tcW w:w="2547"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469" w:type="dxa"/>
            <w:shd w:val="clear" w:color="auto" w:fill="auto"/>
          </w:tcPr>
          <w:p w:rsidR="00DD7712" w:rsidRPr="0053196F" w:rsidRDefault="00FA7A85" w:rsidP="00FA7A85">
            <w:pPr>
              <w:rPr>
                <w:sz w:val="24"/>
                <w:szCs w:val="24"/>
              </w:rPr>
            </w:pPr>
            <w:r>
              <w:rPr>
                <w:sz w:val="24"/>
                <w:szCs w:val="24"/>
              </w:rPr>
              <w:t>G</w:t>
            </w:r>
            <w:r w:rsidR="00F06DD8">
              <w:rPr>
                <w:sz w:val="24"/>
                <w:szCs w:val="24"/>
              </w:rPr>
              <w:t>rassland</w:t>
            </w:r>
            <w:r>
              <w:rPr>
                <w:sz w:val="24"/>
                <w:szCs w:val="24"/>
              </w:rPr>
              <w:t xml:space="preserve"> and hedgerows </w:t>
            </w:r>
            <w:r w:rsidR="0091443E">
              <w:rPr>
                <w:sz w:val="24"/>
                <w:szCs w:val="24"/>
              </w:rPr>
              <w:t>– garden land</w:t>
            </w:r>
          </w:p>
        </w:tc>
      </w:tr>
      <w:tr w:rsidR="00416C6F" w:rsidRPr="0053196F" w:rsidTr="00F06DD8">
        <w:trPr>
          <w:trHeight w:val="699"/>
        </w:trPr>
        <w:tc>
          <w:tcPr>
            <w:tcW w:w="2547"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469" w:type="dxa"/>
            <w:shd w:val="clear" w:color="auto" w:fill="auto"/>
          </w:tcPr>
          <w:p w:rsidR="007B7E73" w:rsidRPr="0053196F" w:rsidRDefault="00F06DD8" w:rsidP="0091443E">
            <w:pPr>
              <w:rPr>
                <w:sz w:val="24"/>
                <w:szCs w:val="24"/>
              </w:rPr>
            </w:pPr>
            <w:r>
              <w:rPr>
                <w:sz w:val="24"/>
                <w:szCs w:val="24"/>
              </w:rPr>
              <w:t>Access</w:t>
            </w:r>
            <w:r w:rsidR="005F107C">
              <w:rPr>
                <w:sz w:val="24"/>
                <w:szCs w:val="24"/>
              </w:rPr>
              <w:t xml:space="preserve"> onto land which will involve removal of some trees, the adequacy of the lane </w:t>
            </w:r>
            <w:r w:rsidR="0091443E">
              <w:rPr>
                <w:sz w:val="24"/>
                <w:szCs w:val="24"/>
              </w:rPr>
              <w:t xml:space="preserve">is under standard in terms of width and thus further investigation is required as </w:t>
            </w:r>
            <w:r w:rsidR="005F107C">
              <w:rPr>
                <w:sz w:val="24"/>
                <w:szCs w:val="24"/>
              </w:rPr>
              <w:t>to whether the appropriate standards can be achieved whilst preserving character of lane. Footpath link to Plough Lane is a benefit but further improvements be necessary to make link an attractive option.</w:t>
            </w:r>
          </w:p>
        </w:tc>
      </w:tr>
      <w:tr w:rsidR="00416C6F" w:rsidRPr="0053196F" w:rsidTr="00F06DD8">
        <w:tc>
          <w:tcPr>
            <w:tcW w:w="2547"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469" w:type="dxa"/>
            <w:shd w:val="clear" w:color="auto" w:fill="auto"/>
          </w:tcPr>
          <w:p w:rsidR="00416C6F" w:rsidRPr="0053196F" w:rsidRDefault="00925C09" w:rsidP="00D51EC3">
            <w:pPr>
              <w:rPr>
                <w:sz w:val="24"/>
                <w:szCs w:val="24"/>
              </w:rPr>
            </w:pPr>
            <w:r>
              <w:rPr>
                <w:sz w:val="24"/>
                <w:szCs w:val="24"/>
              </w:rPr>
              <w:t>Flood Zone 1- low risk of flooding</w:t>
            </w:r>
            <w:r w:rsidR="002513A1">
              <w:rPr>
                <w:sz w:val="24"/>
                <w:szCs w:val="24"/>
              </w:rPr>
              <w:t xml:space="preserve"> </w:t>
            </w:r>
          </w:p>
        </w:tc>
      </w:tr>
      <w:tr w:rsidR="00416C6F" w:rsidRPr="0053196F" w:rsidTr="00F06DD8">
        <w:tc>
          <w:tcPr>
            <w:tcW w:w="2547" w:type="dxa"/>
            <w:shd w:val="clear" w:color="auto" w:fill="56008C"/>
          </w:tcPr>
          <w:p w:rsidR="00416C6F" w:rsidRDefault="00416C6F" w:rsidP="00707C88">
            <w:pPr>
              <w:rPr>
                <w:color w:val="FFFFFF"/>
                <w:sz w:val="24"/>
                <w:szCs w:val="24"/>
              </w:rPr>
            </w:pPr>
            <w:r>
              <w:rPr>
                <w:color w:val="FFFFFF"/>
                <w:sz w:val="24"/>
                <w:szCs w:val="24"/>
              </w:rPr>
              <w:lastRenderedPageBreak/>
              <w:t>Distance from the village core</w:t>
            </w:r>
          </w:p>
          <w:p w:rsidR="00D963ED" w:rsidRPr="0053196F" w:rsidRDefault="00D963ED" w:rsidP="00707C88">
            <w:pPr>
              <w:rPr>
                <w:color w:val="FFFFFF"/>
                <w:sz w:val="24"/>
                <w:szCs w:val="24"/>
              </w:rPr>
            </w:pPr>
          </w:p>
        </w:tc>
        <w:tc>
          <w:tcPr>
            <w:tcW w:w="6469" w:type="dxa"/>
            <w:shd w:val="clear" w:color="auto" w:fill="auto"/>
          </w:tcPr>
          <w:p w:rsidR="003C6CC0" w:rsidRDefault="003C6CC0" w:rsidP="003C6CC0">
            <w:pPr>
              <w:rPr>
                <w:sz w:val="24"/>
                <w:szCs w:val="24"/>
              </w:rPr>
            </w:pPr>
            <w:r>
              <w:rPr>
                <w:sz w:val="24"/>
                <w:szCs w:val="24"/>
              </w:rPr>
              <w:t xml:space="preserve">Distance from school/church </w:t>
            </w:r>
            <w:r w:rsidR="005F107C">
              <w:rPr>
                <w:sz w:val="24"/>
                <w:szCs w:val="24"/>
              </w:rPr>
              <w:t>650</w:t>
            </w:r>
            <w:r>
              <w:rPr>
                <w:sz w:val="24"/>
                <w:szCs w:val="24"/>
              </w:rPr>
              <w:t>m no</w:t>
            </w:r>
            <w:r w:rsidR="00B40A8B">
              <w:rPr>
                <w:sz w:val="24"/>
                <w:szCs w:val="24"/>
              </w:rPr>
              <w:t xml:space="preserve"> footpaths</w:t>
            </w:r>
            <w:r w:rsidR="005F107C">
              <w:rPr>
                <w:sz w:val="24"/>
                <w:szCs w:val="24"/>
              </w:rPr>
              <w:t>, 800m via the 1066 route</w:t>
            </w:r>
          </w:p>
          <w:p w:rsidR="00925C09" w:rsidRDefault="003C6CC0" w:rsidP="003A62E6">
            <w:pPr>
              <w:rPr>
                <w:sz w:val="24"/>
                <w:szCs w:val="24"/>
              </w:rPr>
            </w:pPr>
            <w:r>
              <w:rPr>
                <w:sz w:val="24"/>
                <w:szCs w:val="24"/>
              </w:rPr>
              <w:t xml:space="preserve">Pub-Recreation ground </w:t>
            </w:r>
            <w:r w:rsidR="003A62E6">
              <w:rPr>
                <w:sz w:val="24"/>
                <w:szCs w:val="24"/>
              </w:rPr>
              <w:t>500</w:t>
            </w:r>
            <w:r>
              <w:rPr>
                <w:sz w:val="24"/>
                <w:szCs w:val="24"/>
              </w:rPr>
              <w:t>m–</w:t>
            </w:r>
            <w:r w:rsidR="003A62E6">
              <w:rPr>
                <w:sz w:val="24"/>
                <w:szCs w:val="24"/>
              </w:rPr>
              <w:t>via the footpath and Plough Lane</w:t>
            </w:r>
          </w:p>
          <w:p w:rsidR="0091443E" w:rsidRPr="0053196F" w:rsidRDefault="0091443E" w:rsidP="003A62E6">
            <w:pPr>
              <w:rPr>
                <w:sz w:val="24"/>
                <w:szCs w:val="24"/>
              </w:rPr>
            </w:pPr>
            <w:r>
              <w:rPr>
                <w:sz w:val="24"/>
                <w:szCs w:val="24"/>
              </w:rPr>
              <w:t>1300m to the station – via no footpath route</w:t>
            </w:r>
          </w:p>
        </w:tc>
      </w:tr>
      <w:tr w:rsidR="00416C6F" w:rsidRPr="0053196F" w:rsidTr="00F06DD8">
        <w:tc>
          <w:tcPr>
            <w:tcW w:w="2547"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tcBorders>
              <w:bottom w:val="single" w:sz="4" w:space="0" w:color="auto"/>
            </w:tcBorders>
            <w:shd w:val="clear" w:color="auto" w:fill="auto"/>
          </w:tcPr>
          <w:p w:rsidR="00DC7D89" w:rsidRPr="0053196F" w:rsidRDefault="005F107C" w:rsidP="00902ABC">
            <w:pPr>
              <w:rPr>
                <w:sz w:val="24"/>
                <w:szCs w:val="24"/>
              </w:rPr>
            </w:pPr>
            <w:r>
              <w:rPr>
                <w:sz w:val="24"/>
                <w:szCs w:val="24"/>
              </w:rPr>
              <w:t xml:space="preserve">Setting of </w:t>
            </w:r>
            <w:proofErr w:type="spellStart"/>
            <w:r>
              <w:rPr>
                <w:sz w:val="24"/>
                <w:szCs w:val="24"/>
              </w:rPr>
              <w:t>Pye</w:t>
            </w:r>
            <w:proofErr w:type="spellEnd"/>
            <w:r>
              <w:rPr>
                <w:sz w:val="24"/>
                <w:szCs w:val="24"/>
              </w:rPr>
              <w:t xml:space="preserve"> House which is listed</w:t>
            </w:r>
          </w:p>
        </w:tc>
      </w:tr>
      <w:tr w:rsidR="00416C6F" w:rsidRPr="0053196F" w:rsidTr="00F06DD8">
        <w:tc>
          <w:tcPr>
            <w:tcW w:w="2547"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tcBorders>
              <w:bottom w:val="single" w:sz="4" w:space="0" w:color="auto"/>
            </w:tcBorders>
            <w:shd w:val="clear" w:color="auto" w:fill="auto"/>
          </w:tcPr>
          <w:p w:rsidR="00623E1A" w:rsidRDefault="003A62E6" w:rsidP="00214109">
            <w:pPr>
              <w:rPr>
                <w:sz w:val="24"/>
                <w:szCs w:val="24"/>
              </w:rPr>
            </w:pPr>
            <w:r>
              <w:rPr>
                <w:sz w:val="24"/>
                <w:szCs w:val="24"/>
              </w:rPr>
              <w:t>Access- Further investigation is required regarding ownership of lane and whether access could be secured as per the appropriate standards</w:t>
            </w:r>
          </w:p>
          <w:p w:rsidR="003A62E6" w:rsidRPr="0053196F" w:rsidRDefault="003A62E6" w:rsidP="00214109">
            <w:pPr>
              <w:rPr>
                <w:sz w:val="24"/>
                <w:szCs w:val="24"/>
              </w:rPr>
            </w:pPr>
            <w:r>
              <w:rPr>
                <w:sz w:val="24"/>
                <w:szCs w:val="24"/>
              </w:rPr>
              <w:t>Footpath improvement</w:t>
            </w:r>
            <w:r w:rsidR="005F107C">
              <w:rPr>
                <w:sz w:val="24"/>
                <w:szCs w:val="24"/>
              </w:rPr>
              <w:t>s to ensure access is</w:t>
            </w:r>
            <w:r>
              <w:rPr>
                <w:sz w:val="24"/>
                <w:szCs w:val="24"/>
              </w:rPr>
              <w:t xml:space="preserve"> acceptable.</w:t>
            </w:r>
          </w:p>
        </w:tc>
      </w:tr>
      <w:tr w:rsidR="00902ABC" w:rsidRPr="0053196F" w:rsidTr="00F06DD8">
        <w:tc>
          <w:tcPr>
            <w:tcW w:w="2547"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6469" w:type="dxa"/>
            <w:tcBorders>
              <w:bottom w:val="single" w:sz="4" w:space="0" w:color="auto"/>
            </w:tcBorders>
            <w:shd w:val="clear" w:color="auto" w:fill="auto"/>
          </w:tcPr>
          <w:p w:rsidR="00902ABC" w:rsidRDefault="00902ABC" w:rsidP="0091443E">
            <w:pPr>
              <w:rPr>
                <w:sz w:val="24"/>
                <w:szCs w:val="24"/>
              </w:rPr>
            </w:pPr>
            <w:r>
              <w:rPr>
                <w:sz w:val="24"/>
                <w:szCs w:val="24"/>
              </w:rPr>
              <w:t xml:space="preserve">Site </w:t>
            </w:r>
            <w:r w:rsidR="007063A7">
              <w:rPr>
                <w:sz w:val="24"/>
                <w:szCs w:val="24"/>
              </w:rPr>
              <w:t>promoted by</w:t>
            </w:r>
            <w:r w:rsidR="003A62E6">
              <w:rPr>
                <w:sz w:val="24"/>
                <w:szCs w:val="24"/>
              </w:rPr>
              <w:t xml:space="preserve"> owner so is achievable</w:t>
            </w:r>
            <w:r w:rsidR="005F107C">
              <w:rPr>
                <w:sz w:val="24"/>
                <w:szCs w:val="24"/>
              </w:rPr>
              <w:t xml:space="preserve"> although only 1 dwelling is proposed so </w:t>
            </w:r>
            <w:r w:rsidR="0091443E">
              <w:rPr>
                <w:sz w:val="24"/>
                <w:szCs w:val="24"/>
              </w:rPr>
              <w:t>unsure</w:t>
            </w:r>
            <w:r w:rsidR="005F107C">
              <w:rPr>
                <w:sz w:val="24"/>
                <w:szCs w:val="24"/>
              </w:rPr>
              <w:t xml:space="preserve"> if owner is promoting a strategic site</w:t>
            </w:r>
            <w:r w:rsidR="003A62E6">
              <w:rPr>
                <w:sz w:val="24"/>
                <w:szCs w:val="24"/>
              </w:rPr>
              <w:t xml:space="preserve"> </w:t>
            </w:r>
          </w:p>
        </w:tc>
      </w:tr>
      <w:tr w:rsidR="00C76945" w:rsidRPr="00C76945" w:rsidTr="00F06DD8">
        <w:trPr>
          <w:trHeight w:val="2271"/>
        </w:trPr>
        <w:tc>
          <w:tcPr>
            <w:tcW w:w="2547"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469" w:type="dxa"/>
            <w:shd w:val="clear" w:color="auto" w:fill="FFFFFF" w:themeFill="background1"/>
          </w:tcPr>
          <w:p w:rsidR="00C76945" w:rsidRDefault="005F107C" w:rsidP="005F107C">
            <w:pPr>
              <w:rPr>
                <w:sz w:val="24"/>
                <w:szCs w:val="24"/>
              </w:rPr>
            </w:pPr>
            <w:r>
              <w:rPr>
                <w:sz w:val="24"/>
                <w:szCs w:val="24"/>
              </w:rPr>
              <w:t xml:space="preserve">Whilst the site is detached from the main part of the village, it falls within a relatively enclosed site which is part of a cluster of existing buildings and thus there is a potential to limit landscape impact of any new development subject to consideration of the setting of the listed building opposite. </w:t>
            </w:r>
            <w:r w:rsidR="00A4144C">
              <w:rPr>
                <w:sz w:val="24"/>
                <w:szCs w:val="24"/>
              </w:rPr>
              <w:t>Site is located where pedestrian access can be made to village amenities although vehicular access has not been demonstrated as being achievable either as a result of land ownership or that if land was available that access could be created to the appropriate standards. Notwithstanding the above, the size of the site means it is doubtful whether the site could accommodate 6 dwellings</w:t>
            </w:r>
            <w:r w:rsidR="0091443E">
              <w:rPr>
                <w:sz w:val="24"/>
                <w:szCs w:val="24"/>
              </w:rPr>
              <w:t xml:space="preserve"> which would remain in character with the adjacent buildings </w:t>
            </w:r>
            <w:r w:rsidR="00A4144C">
              <w:rPr>
                <w:sz w:val="24"/>
                <w:szCs w:val="24"/>
              </w:rPr>
              <w:t>along with the other requirements such as landscaping and garden space for</w:t>
            </w:r>
            <w:r w:rsidR="0091443E">
              <w:rPr>
                <w:sz w:val="24"/>
                <w:szCs w:val="24"/>
              </w:rPr>
              <w:t xml:space="preserve"> the existing property. </w:t>
            </w:r>
            <w:r w:rsidR="00A4144C">
              <w:rPr>
                <w:sz w:val="24"/>
                <w:szCs w:val="24"/>
              </w:rPr>
              <w:t>The site could be considered with adjoining land including land at 18 and 35 although no.18 is more sensitive in landscape terms and no.35 does not present any significant additional land</w:t>
            </w:r>
            <w:r w:rsidR="0091443E">
              <w:rPr>
                <w:sz w:val="24"/>
                <w:szCs w:val="24"/>
              </w:rPr>
              <w:t xml:space="preserve">. It is also unclear whether the owner is promoting the site for more than 1 dwellings. </w:t>
            </w:r>
          </w:p>
          <w:p w:rsidR="005F107C" w:rsidRPr="00E27B7F" w:rsidRDefault="005F107C" w:rsidP="005F107C">
            <w:pPr>
              <w:rPr>
                <w:sz w:val="24"/>
                <w:szCs w:val="24"/>
              </w:rPr>
            </w:pPr>
          </w:p>
        </w:tc>
      </w:tr>
      <w:tr w:rsidR="0091443E" w:rsidRPr="00C76945" w:rsidTr="006E1DE1">
        <w:trPr>
          <w:trHeight w:val="2271"/>
        </w:trPr>
        <w:tc>
          <w:tcPr>
            <w:tcW w:w="2547" w:type="dxa"/>
            <w:shd w:val="clear" w:color="auto" w:fill="7030A0"/>
          </w:tcPr>
          <w:p w:rsidR="0091443E" w:rsidRDefault="0091443E" w:rsidP="00707C88">
            <w:pPr>
              <w:rPr>
                <w:color w:val="FFFFFF" w:themeColor="background1"/>
                <w:sz w:val="24"/>
                <w:szCs w:val="24"/>
              </w:rPr>
            </w:pPr>
            <w:r>
              <w:rPr>
                <w:color w:val="FFFFFF" w:themeColor="background1"/>
                <w:sz w:val="24"/>
                <w:szCs w:val="24"/>
              </w:rPr>
              <w:t>Recommendati</w:t>
            </w:r>
            <w:bookmarkStart w:id="0" w:name="_GoBack"/>
            <w:bookmarkEnd w:id="0"/>
            <w:r>
              <w:rPr>
                <w:color w:val="FFFFFF" w:themeColor="background1"/>
                <w:sz w:val="24"/>
                <w:szCs w:val="24"/>
              </w:rPr>
              <w:t>on</w:t>
            </w:r>
          </w:p>
        </w:tc>
        <w:tc>
          <w:tcPr>
            <w:tcW w:w="6469" w:type="dxa"/>
            <w:shd w:val="clear" w:color="auto" w:fill="FFFFFF" w:themeFill="background1"/>
          </w:tcPr>
          <w:p w:rsidR="00CC4555" w:rsidRDefault="0091443E" w:rsidP="00CC4555">
            <w:pPr>
              <w:rPr>
                <w:sz w:val="24"/>
                <w:szCs w:val="24"/>
              </w:rPr>
            </w:pPr>
            <w:r>
              <w:rPr>
                <w:sz w:val="24"/>
                <w:szCs w:val="24"/>
              </w:rPr>
              <w:t>At this stage, it is considered the access lane to the site is below standard to serve a development of 6 units and therefore the site is not considered suitable for housing</w:t>
            </w:r>
            <w:r w:rsidR="00CC4555">
              <w:rPr>
                <w:sz w:val="24"/>
                <w:szCs w:val="24"/>
              </w:rPr>
              <w:t xml:space="preserve"> on the basis of current evidence. </w:t>
            </w:r>
          </w:p>
          <w:p w:rsidR="00CC4555" w:rsidRDefault="00CC4555" w:rsidP="00CC4555">
            <w:pPr>
              <w:rPr>
                <w:sz w:val="24"/>
                <w:szCs w:val="24"/>
              </w:rPr>
            </w:pPr>
          </w:p>
          <w:p w:rsidR="0091443E" w:rsidRDefault="00CC4555" w:rsidP="00CC4555">
            <w:pPr>
              <w:rPr>
                <w:sz w:val="24"/>
                <w:szCs w:val="24"/>
              </w:rPr>
            </w:pPr>
            <w:r>
              <w:rPr>
                <w:sz w:val="24"/>
                <w:szCs w:val="24"/>
              </w:rPr>
              <w:t>If due to the location outside the AONB merited further investigation into the suitability of the site, the site should be considered in relation to site 18 and be subject to further assessment in relation to access and landscape and potential options for the site.</w:t>
            </w:r>
            <w:r w:rsidR="0091443E">
              <w:rPr>
                <w:sz w:val="24"/>
                <w:szCs w:val="24"/>
              </w:rPr>
              <w:t xml:space="preserve"> </w:t>
            </w:r>
          </w:p>
        </w:tc>
      </w:tr>
    </w:tbl>
    <w:p w:rsidR="009475ED" w:rsidRDefault="006E1DE1"/>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0B38B6"/>
    <w:rsid w:val="00136B38"/>
    <w:rsid w:val="00151ED0"/>
    <w:rsid w:val="00163683"/>
    <w:rsid w:val="00166D9F"/>
    <w:rsid w:val="001B013A"/>
    <w:rsid w:val="001B6671"/>
    <w:rsid w:val="001D139F"/>
    <w:rsid w:val="0020049A"/>
    <w:rsid w:val="00212AF1"/>
    <w:rsid w:val="00214109"/>
    <w:rsid w:val="002513A1"/>
    <w:rsid w:val="00251BE1"/>
    <w:rsid w:val="002B57EF"/>
    <w:rsid w:val="003819D3"/>
    <w:rsid w:val="003A62E6"/>
    <w:rsid w:val="003C578E"/>
    <w:rsid w:val="003C6CC0"/>
    <w:rsid w:val="00416C6F"/>
    <w:rsid w:val="00432BF9"/>
    <w:rsid w:val="00450CBE"/>
    <w:rsid w:val="004844FE"/>
    <w:rsid w:val="004C2F13"/>
    <w:rsid w:val="004D4A33"/>
    <w:rsid w:val="00500306"/>
    <w:rsid w:val="00502953"/>
    <w:rsid w:val="00505867"/>
    <w:rsid w:val="005344F0"/>
    <w:rsid w:val="00535D51"/>
    <w:rsid w:val="005C63FA"/>
    <w:rsid w:val="005F107C"/>
    <w:rsid w:val="005F19C2"/>
    <w:rsid w:val="005F2E06"/>
    <w:rsid w:val="00623E1A"/>
    <w:rsid w:val="00626F99"/>
    <w:rsid w:val="00657611"/>
    <w:rsid w:val="00665C1B"/>
    <w:rsid w:val="00693926"/>
    <w:rsid w:val="006A2911"/>
    <w:rsid w:val="006B6AF5"/>
    <w:rsid w:val="006C6D9D"/>
    <w:rsid w:val="006D52DF"/>
    <w:rsid w:val="006E1DE1"/>
    <w:rsid w:val="006F0A73"/>
    <w:rsid w:val="007063A7"/>
    <w:rsid w:val="00724FC3"/>
    <w:rsid w:val="00760B24"/>
    <w:rsid w:val="00774A6F"/>
    <w:rsid w:val="007A613D"/>
    <w:rsid w:val="007B7E73"/>
    <w:rsid w:val="007C52D3"/>
    <w:rsid w:val="007F22FF"/>
    <w:rsid w:val="007F34DA"/>
    <w:rsid w:val="00801993"/>
    <w:rsid w:val="0083364A"/>
    <w:rsid w:val="008A7EF9"/>
    <w:rsid w:val="008C6E95"/>
    <w:rsid w:val="008E3A10"/>
    <w:rsid w:val="00902ABC"/>
    <w:rsid w:val="0091443E"/>
    <w:rsid w:val="00925C09"/>
    <w:rsid w:val="009706DE"/>
    <w:rsid w:val="00983909"/>
    <w:rsid w:val="009965AA"/>
    <w:rsid w:val="009E5CED"/>
    <w:rsid w:val="00A4144C"/>
    <w:rsid w:val="00A82F2A"/>
    <w:rsid w:val="00AF22D4"/>
    <w:rsid w:val="00B40A8B"/>
    <w:rsid w:val="00B65A99"/>
    <w:rsid w:val="00B8686A"/>
    <w:rsid w:val="00C3391C"/>
    <w:rsid w:val="00C76945"/>
    <w:rsid w:val="00CC4555"/>
    <w:rsid w:val="00CC5DFE"/>
    <w:rsid w:val="00D159D8"/>
    <w:rsid w:val="00D51EC3"/>
    <w:rsid w:val="00D963ED"/>
    <w:rsid w:val="00DC0FD2"/>
    <w:rsid w:val="00DC7D89"/>
    <w:rsid w:val="00DD7712"/>
    <w:rsid w:val="00DF60AD"/>
    <w:rsid w:val="00E27B7F"/>
    <w:rsid w:val="00E4785B"/>
    <w:rsid w:val="00E81743"/>
    <w:rsid w:val="00F06A15"/>
    <w:rsid w:val="00F06DD8"/>
    <w:rsid w:val="00F21B36"/>
    <w:rsid w:val="00F35351"/>
    <w:rsid w:val="00F912EC"/>
    <w:rsid w:val="00F966D5"/>
    <w:rsid w:val="00FA2998"/>
    <w:rsid w:val="00FA7A85"/>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4</cp:revision>
  <dcterms:created xsi:type="dcterms:W3CDTF">2017-03-19T12:45:00Z</dcterms:created>
  <dcterms:modified xsi:type="dcterms:W3CDTF">2017-03-21T19:44:00Z</dcterms:modified>
</cp:coreProperties>
</file>